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 xml:space="preserve">Załącznik nr 3a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  <w:t xml:space="preserve">Społeczna Inicjatywa Mieszkaniowa KZN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Warmia i Mazury Sp. z o.o.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Opracowanie projektu budowlanego wraz z analizą rzeczowo-finansową dla zadania pn. 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budynków wielorodzinnych w gminie Szczytno ” realizowanego przez Społeczną Inicjatywę Mieszkaniową KZN - Warmia i Mazury Sp. z o.o.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”, prowadzonego przez Zamawiającego oświadczam, co następuje: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Oświadczam, że nie podlegam wykluczeniu z postępowania na podstawie art. 109 ust 1 pkt 4, </w:t>
      </w:r>
      <w:r w:rsidDel="00000000" w:rsidR="00000000" w:rsidRPr="00000000">
        <w:rPr>
          <w:rFonts w:ascii="Arial" w:cs="Arial" w:eastAsia="Arial" w:hAnsi="Arial"/>
          <w:rtl w:val="0"/>
        </w:rPr>
        <w:t xml:space="preserve">109 ust 1 pkt 5, 109 ust 1 pkt 7, 109 ust 1 pkt 8 pzp Ustawy Pzp </w:t>
      </w: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040" w:firstLine="72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sectPr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D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E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20232 r. poz. 1121, 1285,1783 i 1843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20231 r. poz. 120, 295 i 1598217,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H/nnFNaFZ29mC0M9DnuQ6qP3iA==">CgMxLjAyCWlkLmdqZGd4czIKaWQuMzBqMHpsbDgAaiMKFHN1Z2dlc3QuOWtlZWNkZjQybXZjEgtLYXJvbCBOb3dha2ojChRzdWdnZXN0LnZ4czllYjF0Y2o2ehILS2Fyb2wgTm93YWtqIwoUc3VnZ2VzdC5tZXd3NWRodzg4bTUSC0thcm9sIE5vd2FraiMKFHN1Z2dlc3QudGRwcGRqeHM5NHlxEgtLYXJvbCBOb3dha3IhMTM5RHp1RURzY0hRazJoOVB2Snl0TTBkQy04ZFl0bk5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